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85" w:rsidRPr="00323698" w:rsidRDefault="00CE7085" w:rsidP="00CE7085">
      <w:pPr>
        <w:pStyle w:val="20"/>
        <w:shd w:val="clear" w:color="auto" w:fill="auto"/>
        <w:spacing w:line="360" w:lineRule="auto"/>
        <w:ind w:left="620"/>
        <w:rPr>
          <w:sz w:val="24"/>
          <w:szCs w:val="24"/>
        </w:rPr>
      </w:pPr>
      <w:r w:rsidRPr="00323698">
        <w:rPr>
          <w:sz w:val="24"/>
          <w:szCs w:val="24"/>
        </w:rPr>
        <w:t>МИНИСТЕРСТВО ЗДРАВООХРАНЕНИЯ РОССИЙСКОЙ ФЕДЕРАЦИИ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jc w:val="center"/>
        <w:rPr>
          <w:sz w:val="24"/>
          <w:szCs w:val="24"/>
          <w:lang w:val="ru-RU"/>
        </w:rPr>
      </w:pPr>
      <w:r w:rsidRPr="00323698">
        <w:rPr>
          <w:sz w:val="24"/>
          <w:szCs w:val="24"/>
        </w:rPr>
        <w:t>ИНСТРУКЦИЯ</w:t>
      </w:r>
      <w:r w:rsidRPr="00323698">
        <w:rPr>
          <w:sz w:val="24"/>
          <w:szCs w:val="24"/>
          <w:lang w:val="ru-RU"/>
        </w:rPr>
        <w:t xml:space="preserve"> ПО МЕДИЦИНСКОМУ ПРИМЕНЕНИЮ ЛЕКАРСТВЕННОГО ПРЕПАРАТА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3760"/>
        <w:rPr>
          <w:sz w:val="24"/>
          <w:szCs w:val="24"/>
        </w:rPr>
      </w:pPr>
      <w:r w:rsidRPr="00323698">
        <w:rPr>
          <w:sz w:val="24"/>
          <w:szCs w:val="24"/>
        </w:rPr>
        <w:t>Тригексифенидил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323698">
        <w:rPr>
          <w:sz w:val="24"/>
          <w:szCs w:val="24"/>
        </w:rPr>
        <w:t xml:space="preserve">Регистрационный номер: 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323698">
        <w:rPr>
          <w:sz w:val="24"/>
          <w:szCs w:val="24"/>
        </w:rPr>
        <w:t>Торговое наименование:</w:t>
      </w:r>
      <w:r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  <w:lang w:val="ru-RU"/>
        </w:rPr>
        <w:t>Т</w:t>
      </w:r>
      <w:r w:rsidRPr="00323698">
        <w:rPr>
          <w:rStyle w:val="21"/>
          <w:sz w:val="24"/>
          <w:szCs w:val="24"/>
        </w:rPr>
        <w:t>ригексифенидил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Международное непатентованное наименование:</w:t>
      </w:r>
      <w:r w:rsidRPr="00323698">
        <w:rPr>
          <w:rStyle w:val="21"/>
          <w:sz w:val="24"/>
          <w:szCs w:val="24"/>
        </w:rPr>
        <w:t xml:space="preserve"> тригексифенидил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323698">
        <w:rPr>
          <w:rStyle w:val="a5"/>
          <w:sz w:val="24"/>
          <w:szCs w:val="24"/>
        </w:rPr>
        <w:t>Состав на 1 таблетку:</w:t>
      </w:r>
    </w:p>
    <w:p w:rsidR="00CE7085" w:rsidRPr="00323698" w:rsidRDefault="00CE7085" w:rsidP="00CE7085">
      <w:pPr>
        <w:pStyle w:val="30"/>
        <w:shd w:val="clear" w:color="auto" w:fill="auto"/>
        <w:spacing w:line="360" w:lineRule="auto"/>
        <w:ind w:left="20" w:right="340"/>
        <w:rPr>
          <w:rStyle w:val="32"/>
          <w:sz w:val="24"/>
          <w:szCs w:val="24"/>
        </w:rPr>
      </w:pPr>
      <w:r w:rsidRPr="00323698">
        <w:rPr>
          <w:rStyle w:val="31"/>
          <w:sz w:val="24"/>
          <w:szCs w:val="24"/>
        </w:rPr>
        <w:t xml:space="preserve">действующее вещество: </w:t>
      </w:r>
      <w:r w:rsidRPr="00323698">
        <w:rPr>
          <w:rStyle w:val="32"/>
          <w:sz w:val="24"/>
          <w:szCs w:val="24"/>
        </w:rPr>
        <w:t xml:space="preserve">тригексифенидила гидрохлорид- 2,0 мг; </w:t>
      </w:r>
    </w:p>
    <w:p w:rsidR="00CE7085" w:rsidRPr="00323698" w:rsidRDefault="00CE7085" w:rsidP="00CE7085">
      <w:pPr>
        <w:pStyle w:val="30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323698">
        <w:rPr>
          <w:rStyle w:val="31"/>
          <w:sz w:val="24"/>
          <w:szCs w:val="24"/>
        </w:rPr>
        <w:t>вспомогательные вещества: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Сахароза (сахар белый) -78,4мг; крахмал картофельный- 18,6 мг; кальция стеарат - 1,0 мг.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Лекарственная форма:</w:t>
      </w:r>
      <w:r w:rsidRPr="00323698">
        <w:rPr>
          <w:rStyle w:val="21"/>
          <w:sz w:val="24"/>
          <w:szCs w:val="24"/>
        </w:rPr>
        <w:t xml:space="preserve"> таблетки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Описание: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Круглые плоскоцилиндрические таблетки белого цвета с фаской.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Фармакотерапевтическая группа:</w:t>
      </w:r>
      <w:r w:rsidRPr="00323698">
        <w:rPr>
          <w:rStyle w:val="21"/>
          <w:sz w:val="24"/>
          <w:szCs w:val="24"/>
        </w:rPr>
        <w:t xml:space="preserve"> холиноблокатор центральный.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rStyle w:val="a5"/>
          <w:sz w:val="24"/>
          <w:szCs w:val="24"/>
        </w:rPr>
        <w:t>Код АТХ:</w:t>
      </w:r>
      <w:r w:rsidRPr="00323698">
        <w:rPr>
          <w:sz w:val="24"/>
          <w:szCs w:val="24"/>
        </w:rPr>
        <w:t xml:space="preserve"> </w:t>
      </w:r>
      <w:r w:rsidRPr="00323698">
        <w:rPr>
          <w:sz w:val="24"/>
          <w:szCs w:val="24"/>
          <w:lang w:val="en-US"/>
        </w:rPr>
        <w:t>N</w:t>
      </w:r>
      <w:r w:rsidRPr="00323698">
        <w:rPr>
          <w:sz w:val="24"/>
          <w:szCs w:val="24"/>
          <w:lang w:val="ru-RU"/>
        </w:rPr>
        <w:t>04</w:t>
      </w:r>
      <w:r w:rsidRPr="00323698">
        <w:rPr>
          <w:sz w:val="24"/>
          <w:szCs w:val="24"/>
          <w:lang w:val="en-US"/>
        </w:rPr>
        <w:t>AA</w:t>
      </w:r>
      <w:r w:rsidRPr="00323698">
        <w:rPr>
          <w:sz w:val="24"/>
          <w:szCs w:val="24"/>
          <w:lang w:val="ru-RU"/>
        </w:rPr>
        <w:t>01.</w:t>
      </w:r>
    </w:p>
    <w:p w:rsidR="00CE7085" w:rsidRPr="00323698" w:rsidRDefault="00CE7085" w:rsidP="00CE7085">
      <w:pPr>
        <w:pStyle w:val="20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Фармакологические свойства:</w:t>
      </w:r>
    </w:p>
    <w:p w:rsidR="00CE7085" w:rsidRPr="00323698" w:rsidRDefault="00CE7085" w:rsidP="00CE7085">
      <w:pPr>
        <w:pStyle w:val="40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Фармакодинамика: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323698">
        <w:rPr>
          <w:sz w:val="24"/>
          <w:szCs w:val="24"/>
        </w:rPr>
        <w:t>Тригексифенидил относится к списку сильнодействующих веществ. Тригексифенидил оказывает центральное и переферическое м-холиноблокирующее действие. Стимуляция центральной нервной системы (ЦНС) сопровождается депрессией. Обладает спазмолитическим действием, оказывает прямое угнетающее действие на парасимпатическую нервную систему, а также миорелаксирующее действие на гладкую мускулатуру и уменьшает секрецию особенно слюнных и бронхиальных желез, снижает потоотделение. Оказывает незначительное влияние на секрецию поджелудочной железы и желчи.</w:t>
      </w:r>
    </w:p>
    <w:p w:rsidR="00CE7085" w:rsidRPr="00323698" w:rsidRDefault="00CE7085" w:rsidP="00CE7085">
      <w:pPr>
        <w:pStyle w:val="40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Фармакокинетика: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323698">
        <w:rPr>
          <w:sz w:val="24"/>
          <w:szCs w:val="24"/>
        </w:rPr>
        <w:t>После приема внутрь быстро всасывается из желудочно-кишечного тракта, легко проникает через гематоэнцефалический барьер. Действие препарата наступает через 1 час после приема внутрь. Период полувыведения в среднем составляет 6-10 часов. Быстро покидает организм, выводится в основном в неизменном виде. Даже при длительном использовании не кумулирует. Отсутствуют данные о распределении, связывании с белками плазмы крови, метаболизме и клиренсе, изменении выведения препарата при нарушениях функции печени и почек (в том числе при гемодиализе), о проникновении через плаценту и в материнское молоко.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0" w:name="bookmark0"/>
      <w:r w:rsidRPr="00323698">
        <w:rPr>
          <w:sz w:val="24"/>
          <w:szCs w:val="24"/>
        </w:rPr>
        <w:lastRenderedPageBreak/>
        <w:t>Показания к применению:</w:t>
      </w:r>
      <w:bookmarkEnd w:id="0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</w:rPr>
      </w:pPr>
      <w:r w:rsidRPr="00323698">
        <w:rPr>
          <w:sz w:val="24"/>
          <w:szCs w:val="24"/>
        </w:rPr>
        <w:t>Паркинсонизм; предотвращение и контроль лекарственно-индуцированных экстрапирамидальных симптомов (за исключением поздней дискинезии).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1" w:name="bookmark1"/>
      <w:r w:rsidRPr="00323698">
        <w:rPr>
          <w:sz w:val="24"/>
          <w:szCs w:val="24"/>
        </w:rPr>
        <w:t>Противопоказания</w:t>
      </w:r>
      <w:bookmarkEnd w:id="1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</w:rPr>
      </w:pPr>
      <w:r w:rsidRPr="00323698">
        <w:rPr>
          <w:sz w:val="24"/>
          <w:szCs w:val="24"/>
        </w:rPr>
        <w:t>Гиперчувствительность к любому из компонентов препарата; механические стенозы желудочно-кишечного тракта; мегаколон; закрытоугольная глаукома; задержка мочи; гиперплазия предстательной железы (с наличием остаточной мочи); тахиаритмии, острое отравление алкоголем, наркотиками или психотропными лекарственными средствами, в том числе опиоидами, поздняя дискинезия (т.к. тригексифенидил может спровоцировать или усугубить течение поздней дискинезии), беременность и грудное вскармливание, детский возраст до 18 лет; дефицит сахаразы/изомальтазы, непереносимость фруктозы, глюкозо-галактозная мальабсорбция.</w:t>
      </w:r>
    </w:p>
    <w:p w:rsidR="00CE7085" w:rsidRPr="00323698" w:rsidRDefault="00CE7085" w:rsidP="00CE7085">
      <w:pPr>
        <w:pStyle w:val="120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2" w:name="bookmark2"/>
      <w:r w:rsidRPr="00323698">
        <w:rPr>
          <w:sz w:val="24"/>
          <w:szCs w:val="24"/>
        </w:rPr>
        <w:t>С осторожностью:</w:t>
      </w:r>
      <w:bookmarkEnd w:id="2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</w:rPr>
      </w:pPr>
      <w:r w:rsidRPr="00323698">
        <w:rPr>
          <w:sz w:val="24"/>
          <w:szCs w:val="24"/>
        </w:rPr>
        <w:t xml:space="preserve">Тахикардия, артериальная гипертензия, гиперплазия предстательной железы, психотические и маниакальные расстройства, </w:t>
      </w:r>
      <w:r w:rsidRPr="00323698">
        <w:rPr>
          <w:sz w:val="24"/>
          <w:szCs w:val="24"/>
          <w:lang w:val="ru-RU"/>
        </w:rPr>
        <w:t>деменция</w:t>
      </w:r>
      <w:r w:rsidRPr="00323698">
        <w:rPr>
          <w:sz w:val="24"/>
          <w:szCs w:val="24"/>
        </w:rPr>
        <w:t>, острый инфаркт миокарда, миастения гравис, глаукома, пожилые пациенты, пациенты с заболеваниями сердца, декомпенсированными заболеваниями почек или печени, обструктивными заболеваниями желудочно-кишечного тракта или мочеполовых путей.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3" w:name="bookmark3"/>
      <w:r w:rsidRPr="00323698">
        <w:rPr>
          <w:sz w:val="24"/>
          <w:szCs w:val="24"/>
        </w:rPr>
        <w:t>Применение при беременности и в период грудного вскармливания:</w:t>
      </w:r>
      <w:bookmarkEnd w:id="3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</w:rPr>
      </w:pPr>
      <w:r w:rsidRPr="00323698">
        <w:rPr>
          <w:sz w:val="24"/>
          <w:szCs w:val="24"/>
        </w:rPr>
        <w:t>Применение тригексифенидила во время беременности и грудного вскармливания противопоказано с целью исключения возможного риска токсического воздействия на плод и новорожденного, а также в связи с отсутствием достоверной информации относительно применения препарата во время беременности, его способности проникать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</w:rPr>
      </w:pPr>
      <w:r w:rsidRPr="00323698">
        <w:rPr>
          <w:sz w:val="24"/>
          <w:szCs w:val="24"/>
        </w:rPr>
        <w:t>через плацентарный барьер, выделении с грудным молоком и о влиянии на плод и новорожденного. Данные доклинического изучения тригексифенидила показали, что в опытах на собаках и крысах препарата в дозах, в 100 раз превышающих терапевтическую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860"/>
        <w:rPr>
          <w:sz w:val="24"/>
          <w:szCs w:val="24"/>
        </w:rPr>
      </w:pPr>
      <w:r w:rsidRPr="00323698">
        <w:rPr>
          <w:sz w:val="24"/>
          <w:szCs w:val="24"/>
        </w:rPr>
        <w:t>дозу для человека, в течение 15 недель не влияет на фертильность. Исследования тератогенного и эмбриотоксического действия тригексифенидила не проводились. В случае необходимости применения препарата женщинами, кормящими грудью, вскармливание следует прекратить.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4" w:name="bookmark4"/>
      <w:r w:rsidRPr="00323698">
        <w:rPr>
          <w:sz w:val="24"/>
          <w:szCs w:val="24"/>
        </w:rPr>
        <w:t>Способ применения и дозы</w:t>
      </w:r>
      <w:bookmarkEnd w:id="4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6"/>
          <w:sz w:val="24"/>
          <w:szCs w:val="24"/>
        </w:rPr>
        <w:t>Только взрослые.</w:t>
      </w:r>
      <w:r w:rsidRPr="00323698">
        <w:rPr>
          <w:sz w:val="24"/>
          <w:szCs w:val="24"/>
        </w:rPr>
        <w:t xml:space="preserve"> Внутрь. Прием препарата не зависит от времени употребления пищи. Таблетку рекомендуется запивать достаточным количеством жидкости (150-200мл). При гиперсаливации, если она наблюдалась до начала лечения, тригексифенидил следует </w:t>
      </w:r>
      <w:r w:rsidRPr="00323698">
        <w:rPr>
          <w:sz w:val="24"/>
          <w:szCs w:val="24"/>
        </w:rPr>
        <w:lastRenderedPageBreak/>
        <w:t>принимать после еды. При развитии в процессе лечения сухости слизистой оболочки рта назначают до еды (если при этом не возникает тошнота).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Дозу необходимо подбирать индивидуально, начиная с самой низкой, повышая ее до минимальной эффективной. При синдромах паркинсонизма: начальная доза составляет 1 мг в сутки. Каждые 3-5 дней дозу постепенно повышают на 1-2 мг в сутки, доза увеличивается до 6-10 мг в день в зависимости от реакции пациента до получения оптимального лечебного эффекта. Некоторые пациенты могут потребовать 12-15 мг в день или больше. Пациенты с постэнцефалическим паркинсонизмом могут быть резистентны к препарату и требуют больших доз. Для лечения лекарственно-индуцированных экстрапирамидных расстройств обычно назначают по 5-10 мг тригексифенидила в сутки, в зависимости от тяжести симптомов. В некоторых случаях может быть достаточно 1 мг ежедневно. Завершать лечение следует постепенно, снижая дозу тригексифенидила на протяжении 1-2 недель, до его полной отмены. Резкая отмена препарата может привести к внезапному ухудшению состояния пациента за счет обострения симптомов заболевания. Длительность лечения определяет врач индивидуально в каждом случае.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6"/>
          <w:sz w:val="24"/>
          <w:szCs w:val="24"/>
        </w:rPr>
        <w:t>Пожилым пациентам старше 65 лет</w:t>
      </w:r>
      <w:r w:rsidRPr="00323698">
        <w:rPr>
          <w:sz w:val="24"/>
          <w:szCs w:val="24"/>
        </w:rPr>
        <w:t xml:space="preserve"> тригексифенидил назначают в минимальных дозах 1-2 мг под контролем когнитивных функций и психического состояния.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При совместном применении тригексифенидила с другими препаратами, используемыми для лечения паркинсонизма, необходимо снижение дозы. При одновременном приеме вместе с леводопой дозировку обоих препаратов необходимо уменьшить, обычно достаточно 3 -6 мг тригексифенидила в сутки, разделенных на 2 приема.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5" w:name="bookmark5"/>
      <w:r w:rsidRPr="00323698">
        <w:rPr>
          <w:sz w:val="24"/>
          <w:szCs w:val="24"/>
        </w:rPr>
        <w:t>Побочное действие:</w:t>
      </w:r>
      <w:bookmarkEnd w:id="5"/>
    </w:p>
    <w:p w:rsidR="00CE7085" w:rsidRPr="00BC5B88" w:rsidRDefault="00CE7085" w:rsidP="00CE7085">
      <w:pPr>
        <w:pStyle w:val="1"/>
        <w:shd w:val="clear" w:color="auto" w:fill="auto"/>
        <w:spacing w:line="360" w:lineRule="auto"/>
        <w:ind w:left="20" w:right="260"/>
        <w:rPr>
          <w:rStyle w:val="a6"/>
          <w:i w:val="0"/>
          <w:sz w:val="24"/>
          <w:szCs w:val="24"/>
          <w:lang w:val="ru-RU"/>
        </w:rPr>
      </w:pPr>
      <w:r>
        <w:rPr>
          <w:rStyle w:val="a6"/>
          <w:i w:val="0"/>
          <w:sz w:val="24"/>
          <w:szCs w:val="24"/>
          <w:lang w:val="ru-RU"/>
        </w:rPr>
        <w:t xml:space="preserve">Ниже представленные </w:t>
      </w:r>
      <w:r w:rsidRPr="00BC5B88">
        <w:rPr>
          <w:rStyle w:val="a6"/>
          <w:i w:val="0"/>
          <w:sz w:val="24"/>
          <w:szCs w:val="24"/>
        </w:rPr>
        <w:t>нежелательные явления сгруппированы в соответствии с классами систем органов согласно MedDRA</w:t>
      </w:r>
      <w:r>
        <w:rPr>
          <w:rStyle w:val="a6"/>
          <w:i w:val="0"/>
          <w:sz w:val="24"/>
          <w:szCs w:val="24"/>
          <w:lang w:val="ru-RU"/>
        </w:rPr>
        <w:t>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6"/>
          <w:sz w:val="24"/>
          <w:szCs w:val="24"/>
        </w:rPr>
        <w:t>Со стороны центральной нервной системы:</w:t>
      </w:r>
      <w:r w:rsidRPr="00323698">
        <w:rPr>
          <w:sz w:val="24"/>
          <w:szCs w:val="24"/>
        </w:rPr>
        <w:t xml:space="preserve"> повышенная нервная возбудимость, эйфория, психомоторное возбуждение, ажитация, головная боль, головокружение, раздражительность, бред, галлюцинации, повышенная утомляемость, снижение способности к концентрации внимания, психозы, при повышенных дозах или повышенной чувствительности могут наблюдаться беспокойство, нарушение сознания, памяти, бессонница, непроизвольные движения в виде дискинезий (особенно у пациентов, которые принимают препараты леводопы), ухудшение клинических показателей миастении.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7"/>
          <w:sz w:val="24"/>
          <w:szCs w:val="24"/>
        </w:rPr>
        <w:t>Эффекты, обусловленные антихолинергической активностью:</w:t>
      </w:r>
      <w:r w:rsidRPr="00323698">
        <w:rPr>
          <w:sz w:val="24"/>
          <w:szCs w:val="24"/>
        </w:rPr>
        <w:t xml:space="preserve"> сухость слизистой полости рта, парез аккомодации, повышение внутриглазного давления, мидриаз, </w:t>
      </w:r>
      <w:r w:rsidRPr="00323698">
        <w:rPr>
          <w:sz w:val="24"/>
          <w:szCs w:val="24"/>
        </w:rPr>
        <w:lastRenderedPageBreak/>
        <w:t>нарушение зрения; снижение потоотделения, запор, задержка мочи, трудности при мочеиспускании, тахикардия, брадикардия.</w:t>
      </w:r>
    </w:p>
    <w:p w:rsidR="00CE7085" w:rsidRPr="00323698" w:rsidRDefault="00CE7085" w:rsidP="00CE7085">
      <w:pPr>
        <w:pStyle w:val="30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Со стороны пищеварительной системы:</w:t>
      </w:r>
      <w:r w:rsidRPr="00323698">
        <w:rPr>
          <w:rStyle w:val="33"/>
          <w:sz w:val="24"/>
          <w:szCs w:val="24"/>
        </w:rPr>
        <w:t xml:space="preserve"> тошнота, рвота.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rStyle w:val="a7"/>
          <w:sz w:val="24"/>
          <w:szCs w:val="24"/>
        </w:rPr>
        <w:t>Аллергические реакции:</w:t>
      </w:r>
      <w:r w:rsidRPr="00323698">
        <w:rPr>
          <w:sz w:val="24"/>
          <w:szCs w:val="24"/>
        </w:rPr>
        <w:t xml:space="preserve"> высыпания на коже, фотофобия.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7"/>
          <w:sz w:val="24"/>
          <w:szCs w:val="24"/>
        </w:rPr>
        <w:t>Прочие:</w:t>
      </w:r>
      <w:r w:rsidRPr="00323698">
        <w:rPr>
          <w:sz w:val="24"/>
          <w:szCs w:val="24"/>
        </w:rPr>
        <w:t xml:space="preserve"> гнойный паротит (вследствие снижения отделения слюны), гиперемия кожи, снижение мышечного тонуса, лекарственная зависимость.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6" w:name="bookmark6"/>
      <w:r w:rsidRPr="00323698">
        <w:rPr>
          <w:sz w:val="24"/>
          <w:szCs w:val="24"/>
        </w:rPr>
        <w:t>Передозировка:</w:t>
      </w:r>
      <w:bookmarkEnd w:id="6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Симптомы: первыми проявлениями интоксикации могут быть покраснение кожи, гиперемия лица, сухость кожи и слизистых оболочек, сухость во рту, нарушение глотания, учащенное дыхание, тахикардия, повышенное артериальное давление, тошнота, рвота, повышение температуры тела, расширение зрачков, сыпь на лице и верхней части туловища. Проявления со стороны ЦНС: беспричинная эйфория, атактическая походка. Возбуждение перерастает в делириозное состояние с выраженными зрительными галлюцинациями. При тяжелой передозировке: кома, сердечно-сосудистая и дыхательная недостаточность, смерть.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Лечение: необходимо как можно скорее проводить промывание желудка и использовать другие возможные способы для уменьшения всасывания препарата, холодные компрессы, обильное питье. Гемодиализ и гемоперфузия показаны лишь на протяжении первых часов после отравления. Специфический антидот отсутствует. Для лечения сердечных осложнений - натрия бикарбонат или натрия лактат, при судорогах - диазепам, при делирии - физостигмин.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7" w:name="bookmark7"/>
      <w:r w:rsidRPr="00323698">
        <w:rPr>
          <w:sz w:val="24"/>
          <w:szCs w:val="24"/>
        </w:rPr>
        <w:t>Взаимодействие с другими лекарственными препаратами:</w:t>
      </w:r>
      <w:bookmarkEnd w:id="7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7"/>
          <w:sz w:val="24"/>
          <w:szCs w:val="24"/>
        </w:rPr>
        <w:t>Препараты, угнетающие ЦНС,</w:t>
      </w:r>
      <w:r w:rsidRPr="00323698">
        <w:rPr>
          <w:sz w:val="24"/>
          <w:szCs w:val="24"/>
        </w:rPr>
        <w:t xml:space="preserve"> при приеме с тригексифенидилом увеличивают тормозные эффекты на ЦНС. При одновременном приеме</w:t>
      </w:r>
      <w:r w:rsidRPr="00323698">
        <w:rPr>
          <w:rStyle w:val="a7"/>
          <w:sz w:val="24"/>
          <w:szCs w:val="24"/>
        </w:rPr>
        <w:t xml:space="preserve"> антихолинергических средств и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640"/>
        <w:jc w:val="both"/>
        <w:rPr>
          <w:sz w:val="24"/>
          <w:szCs w:val="24"/>
        </w:rPr>
      </w:pPr>
      <w:r w:rsidRPr="00323698">
        <w:rPr>
          <w:rStyle w:val="a8"/>
          <w:sz w:val="24"/>
          <w:szCs w:val="24"/>
        </w:rPr>
        <w:t>препаратов с антихолинергической активностью, ингибиторов моноаминооксидазы (МАО)</w:t>
      </w:r>
      <w:r w:rsidRPr="00323698">
        <w:rPr>
          <w:sz w:val="24"/>
          <w:szCs w:val="24"/>
        </w:rPr>
        <w:t xml:space="preserve"> с тригексифенидилом усиливается антихолинергический эффект последнего и возможно возникновение желудочно-кишечных нарушений, лихорадки, гипертермии, вплоть до теплового удара.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323698">
        <w:rPr>
          <w:sz w:val="24"/>
          <w:szCs w:val="24"/>
        </w:rPr>
        <w:t>Тригексифенидил ослабляет эффект</w:t>
      </w:r>
      <w:r w:rsidRPr="00323698">
        <w:rPr>
          <w:rStyle w:val="a8"/>
          <w:sz w:val="24"/>
          <w:szCs w:val="24"/>
        </w:rPr>
        <w:t xml:space="preserve"> метоклопрамида и домперидона.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360"/>
        <w:rPr>
          <w:sz w:val="24"/>
          <w:szCs w:val="24"/>
        </w:rPr>
      </w:pPr>
      <w:r w:rsidRPr="00323698">
        <w:rPr>
          <w:sz w:val="24"/>
          <w:szCs w:val="24"/>
        </w:rPr>
        <w:t>Одновременное применение тригексифенидила с</w:t>
      </w:r>
      <w:r w:rsidRPr="00323698">
        <w:rPr>
          <w:rStyle w:val="a8"/>
          <w:sz w:val="24"/>
          <w:szCs w:val="24"/>
        </w:rPr>
        <w:t xml:space="preserve"> антигистаминными препаратами </w:t>
      </w:r>
      <w:r w:rsidRPr="00323698">
        <w:rPr>
          <w:sz w:val="24"/>
          <w:szCs w:val="24"/>
        </w:rPr>
        <w:t>может привести к проявлениям нежелательных реакций, связанных с усилением антихолинергического действия.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1100"/>
        <w:rPr>
          <w:sz w:val="24"/>
          <w:szCs w:val="24"/>
        </w:rPr>
      </w:pPr>
      <w:r w:rsidRPr="00323698">
        <w:rPr>
          <w:sz w:val="24"/>
          <w:szCs w:val="24"/>
        </w:rPr>
        <w:t>При одновременном применении</w:t>
      </w:r>
      <w:r w:rsidRPr="00323698">
        <w:rPr>
          <w:rStyle w:val="a8"/>
          <w:sz w:val="24"/>
          <w:szCs w:val="24"/>
        </w:rPr>
        <w:t xml:space="preserve"> хинидина</w:t>
      </w:r>
      <w:r w:rsidRPr="00323698">
        <w:rPr>
          <w:sz w:val="24"/>
          <w:szCs w:val="24"/>
        </w:rPr>
        <w:t xml:space="preserve"> и тригексифинидила усиливается антихолинергическое влияние на сердечную деятельность (торможение атриовентикулярной проводимости).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640"/>
        <w:jc w:val="both"/>
        <w:rPr>
          <w:sz w:val="24"/>
          <w:szCs w:val="24"/>
        </w:rPr>
      </w:pPr>
      <w:r w:rsidRPr="00323698">
        <w:rPr>
          <w:sz w:val="24"/>
          <w:szCs w:val="24"/>
        </w:rPr>
        <w:lastRenderedPageBreak/>
        <w:t xml:space="preserve">При одновременном применении тригексифенидил уменьшает действие применяемых </w:t>
      </w:r>
      <w:r w:rsidRPr="00323698">
        <w:rPr>
          <w:rStyle w:val="a8"/>
          <w:sz w:val="24"/>
          <w:szCs w:val="24"/>
        </w:rPr>
        <w:t>сублингвально нитратов</w:t>
      </w:r>
      <w:r w:rsidRPr="00323698">
        <w:rPr>
          <w:sz w:val="24"/>
          <w:szCs w:val="24"/>
        </w:rPr>
        <w:t xml:space="preserve"> (вследствие сухость во рту).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360"/>
        <w:rPr>
          <w:sz w:val="24"/>
          <w:szCs w:val="24"/>
        </w:rPr>
      </w:pPr>
      <w:r w:rsidRPr="00323698">
        <w:rPr>
          <w:sz w:val="24"/>
          <w:szCs w:val="24"/>
        </w:rPr>
        <w:t>При одновременном применении тригексифенидила с</w:t>
      </w:r>
      <w:r w:rsidRPr="00323698">
        <w:rPr>
          <w:rStyle w:val="a8"/>
          <w:sz w:val="24"/>
          <w:szCs w:val="24"/>
        </w:rPr>
        <w:t xml:space="preserve"> нефопамом и антимускариновыми препаратами,</w:t>
      </w:r>
      <w:r w:rsidRPr="00323698">
        <w:rPr>
          <w:sz w:val="24"/>
          <w:szCs w:val="24"/>
        </w:rPr>
        <w:t xml:space="preserve"> в том числе, используемыми ингаляционно, может усиливаться частота и тяжесть антихолинэргических побочных эффектов, таких как сухость во рту, запор, сонливость.</w:t>
      </w:r>
    </w:p>
    <w:p w:rsidR="00CE7085" w:rsidRPr="00323698" w:rsidRDefault="00CE7085" w:rsidP="00CE7085">
      <w:pPr>
        <w:pStyle w:val="30"/>
        <w:shd w:val="clear" w:color="auto" w:fill="auto"/>
        <w:spacing w:line="360" w:lineRule="auto"/>
        <w:ind w:left="20" w:right="360"/>
        <w:rPr>
          <w:sz w:val="24"/>
          <w:szCs w:val="24"/>
        </w:rPr>
      </w:pPr>
      <w:r w:rsidRPr="00323698">
        <w:rPr>
          <w:rStyle w:val="34"/>
          <w:sz w:val="24"/>
          <w:szCs w:val="24"/>
        </w:rPr>
        <w:t>Действие тригексифенидила может увеличиваться при совместном применении его с препаратами:</w:t>
      </w:r>
      <w:r w:rsidRPr="00323698">
        <w:rPr>
          <w:sz w:val="24"/>
          <w:szCs w:val="24"/>
        </w:rPr>
        <w:t xml:space="preserve"> амантадином, блокаторами Н</w:t>
      </w:r>
      <w:r w:rsidRPr="004808C1">
        <w:rPr>
          <w:sz w:val="24"/>
          <w:szCs w:val="24"/>
          <w:vertAlign w:val="subscript"/>
        </w:rPr>
        <w:t>1</w:t>
      </w:r>
      <w:r w:rsidRPr="00323698">
        <w:rPr>
          <w:sz w:val="24"/>
          <w:szCs w:val="24"/>
        </w:rPr>
        <w:t>-гистаминовых</w:t>
      </w:r>
      <w:r>
        <w:rPr>
          <w:sz w:val="24"/>
          <w:szCs w:val="24"/>
          <w:lang w:val="ru-RU"/>
        </w:rPr>
        <w:t xml:space="preserve"> </w:t>
      </w:r>
      <w:r w:rsidRPr="00323698">
        <w:rPr>
          <w:sz w:val="24"/>
          <w:szCs w:val="24"/>
        </w:rPr>
        <w:t>рецепторов (дифенгидрамин, прометазин, клемастин), производными фенотиазина (хлорпромазин, алимемазин), трициклическими антидепрессантами (имипрамин, амитриптилин, тримипрамин).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1100"/>
        <w:rPr>
          <w:sz w:val="24"/>
          <w:szCs w:val="24"/>
        </w:rPr>
      </w:pPr>
      <w:r w:rsidRPr="00323698">
        <w:rPr>
          <w:sz w:val="24"/>
          <w:szCs w:val="24"/>
        </w:rPr>
        <w:t>При совместном применении с</w:t>
      </w:r>
      <w:r w:rsidRPr="00323698">
        <w:rPr>
          <w:rStyle w:val="a8"/>
          <w:sz w:val="24"/>
          <w:szCs w:val="24"/>
        </w:rPr>
        <w:t xml:space="preserve"> хлорпромазином</w:t>
      </w:r>
      <w:r w:rsidRPr="00323698">
        <w:rPr>
          <w:sz w:val="24"/>
          <w:szCs w:val="24"/>
        </w:rPr>
        <w:t xml:space="preserve"> увеличивается его метаболизм, в результате чего возможно уменьшение его концентрации в плазме.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1100"/>
        <w:rPr>
          <w:sz w:val="24"/>
          <w:szCs w:val="24"/>
        </w:rPr>
      </w:pPr>
      <w:r w:rsidRPr="00323698">
        <w:rPr>
          <w:sz w:val="24"/>
          <w:szCs w:val="24"/>
        </w:rPr>
        <w:t>При совместном применении с</w:t>
      </w:r>
      <w:r w:rsidRPr="00323698">
        <w:rPr>
          <w:rStyle w:val="a8"/>
          <w:sz w:val="24"/>
          <w:szCs w:val="24"/>
        </w:rPr>
        <w:t xml:space="preserve"> кетоконазолом</w:t>
      </w:r>
      <w:r w:rsidRPr="00323698">
        <w:rPr>
          <w:sz w:val="24"/>
          <w:szCs w:val="24"/>
        </w:rPr>
        <w:t xml:space="preserve"> возможно снижение всасывания перорально принимаемого препарата.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1100"/>
        <w:rPr>
          <w:sz w:val="24"/>
          <w:szCs w:val="24"/>
        </w:rPr>
      </w:pPr>
      <w:r w:rsidRPr="00323698">
        <w:rPr>
          <w:sz w:val="24"/>
          <w:szCs w:val="24"/>
        </w:rPr>
        <w:t>Под влиянием</w:t>
      </w:r>
      <w:r w:rsidRPr="00323698">
        <w:rPr>
          <w:rStyle w:val="a8"/>
          <w:sz w:val="24"/>
          <w:szCs w:val="24"/>
        </w:rPr>
        <w:t xml:space="preserve"> резерпина</w:t>
      </w:r>
      <w:r w:rsidRPr="00323698">
        <w:rPr>
          <w:sz w:val="24"/>
          <w:szCs w:val="24"/>
        </w:rPr>
        <w:t xml:space="preserve"> противопаркинсоническое действие тригексифенидила уменьшается, что приводит к усилению синдрома паркинсонизма.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360"/>
        <w:rPr>
          <w:sz w:val="24"/>
          <w:szCs w:val="24"/>
        </w:rPr>
      </w:pPr>
      <w:r w:rsidRPr="00323698">
        <w:rPr>
          <w:sz w:val="24"/>
          <w:szCs w:val="24"/>
        </w:rPr>
        <w:t>При применении в комбинации с другими</w:t>
      </w:r>
      <w:r w:rsidRPr="00323698">
        <w:rPr>
          <w:rStyle w:val="a8"/>
          <w:sz w:val="24"/>
          <w:szCs w:val="24"/>
        </w:rPr>
        <w:t xml:space="preserve"> противопаркинсоническими препаратами (например, леводопой)</w:t>
      </w:r>
      <w:r w:rsidRPr="00323698">
        <w:rPr>
          <w:sz w:val="24"/>
          <w:szCs w:val="24"/>
        </w:rPr>
        <w:t xml:space="preserve"> доза тригексифенидила должна быть значительно уменьшена, поскольку такая комбинация может усиливать дискинезии, особенно в начале лечения, при этом уменьшается абсорбция и С</w:t>
      </w:r>
      <w:r w:rsidRPr="00323698">
        <w:rPr>
          <w:sz w:val="24"/>
          <w:szCs w:val="24"/>
          <w:vertAlign w:val="subscript"/>
        </w:rPr>
        <w:t>мах</w:t>
      </w:r>
      <w:r w:rsidRPr="00323698">
        <w:rPr>
          <w:sz w:val="24"/>
          <w:szCs w:val="24"/>
        </w:rPr>
        <w:t xml:space="preserve"> леводопы в плазме крови.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1920"/>
        <w:rPr>
          <w:sz w:val="24"/>
          <w:szCs w:val="24"/>
        </w:rPr>
      </w:pPr>
      <w:r w:rsidRPr="00323698">
        <w:rPr>
          <w:sz w:val="24"/>
          <w:szCs w:val="24"/>
        </w:rPr>
        <w:t>Усиливается дискинезия при одновременном приеме</w:t>
      </w:r>
      <w:r w:rsidRPr="00323698">
        <w:rPr>
          <w:rStyle w:val="a9"/>
          <w:sz w:val="24"/>
          <w:szCs w:val="24"/>
        </w:rPr>
        <w:t xml:space="preserve"> транквилизаторов</w:t>
      </w:r>
      <w:r w:rsidRPr="00323698">
        <w:rPr>
          <w:sz w:val="24"/>
          <w:szCs w:val="24"/>
        </w:rPr>
        <w:t xml:space="preserve"> и тригексифенидила.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Тригексифенидил и</w:t>
      </w:r>
      <w:r w:rsidRPr="00323698">
        <w:rPr>
          <w:rStyle w:val="a9"/>
          <w:sz w:val="24"/>
          <w:szCs w:val="24"/>
        </w:rPr>
        <w:t xml:space="preserve"> парасимпатомиметические препараты</w:t>
      </w:r>
      <w:r w:rsidRPr="00323698">
        <w:rPr>
          <w:sz w:val="24"/>
          <w:szCs w:val="24"/>
        </w:rPr>
        <w:t xml:space="preserve"> (пилокарпин, карбахол, неостигмин) являются антагонистами, поэтому применять их совместно нельзя вследствие увеличения антимускариновых побочных эффектов.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rStyle w:val="a9"/>
          <w:sz w:val="24"/>
          <w:szCs w:val="24"/>
        </w:rPr>
        <w:t>Каннабиноиды, барбитураты, опиаты, алкоголь</w:t>
      </w:r>
      <w:r w:rsidRPr="00323698">
        <w:rPr>
          <w:sz w:val="24"/>
          <w:szCs w:val="24"/>
        </w:rPr>
        <w:t xml:space="preserve"> - возможны аддитивные эффекты с тригексифенидилом.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8" w:name="bookmark8"/>
      <w:r w:rsidRPr="00323698">
        <w:rPr>
          <w:sz w:val="24"/>
          <w:szCs w:val="24"/>
        </w:rPr>
        <w:t>Особые указания:</w:t>
      </w:r>
      <w:bookmarkEnd w:id="8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Поскольку применение тригексифенидила в некоторых случаях может продолжаться длительно, пациент должен находиться под тщательным наблюдением в течение длительного срока, чтобы избежать аллергических или других нежелательных реакций.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 xml:space="preserve">Лечение нельзя прекращать внезапно. По окончании лечения или в случае начала альтернативного лечения дозы тригексифенидила следует уменьшать постепенно. Применение тригексифенидила может спровоцировать раннюю (начинающуюся) </w:t>
      </w:r>
      <w:r w:rsidRPr="00323698">
        <w:rPr>
          <w:sz w:val="24"/>
          <w:szCs w:val="24"/>
        </w:rPr>
        <w:lastRenderedPageBreak/>
        <w:t>глаукому. Следует периодически контролировать внутриглазное давление. Пациентам с гипертензией, нарушениями функции сердца, печени или почек препарат не противопоказан, но за такими пациентами необходим тщательный контроль. У пациентов с сердечно-сосудистыми заболеваниями, нарушениями функции почек или печени препарат следует применять с осторожностью. Так как тригексифенидил может спровоцировать или усугубить позднюю дискинезию, препарат не рекомендуется применять у пациентов с таким заболеванием. Тригексифенидил следует использовать с осторожностью у пациентов с глаукомой, обструктивными заболеваниями желудочно- кишечного тракта или мочеполовых путей, а также у пожилых мужчин с возможной гипертрофией предстательной железы. Применение тригексифенидила было ассоциировано с клиническим ухудшением миастении гравис, поэтому применение препарата следует избегать или применять с большой осторожностью у пациентов с миастенией гравис.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323698">
        <w:rPr>
          <w:sz w:val="24"/>
          <w:szCs w:val="24"/>
        </w:rPr>
        <w:t>Хотя некоторые психиатрические проявления, такие как спутанность сознания, бред и галлюцинации, которые могут возникнуть при применении атропиноподобных препаратов, отмечались редко при применении тригексифенидила, препарат следует применять с особой осторожностью у пожилых пациентов. Кроме того, у таких пациентов возможны ухудшения памяти и мышления.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При применении больших доз препарата или при лечении пациентов с предрасполагающими факторами (атеросклероз, преклонный возраст или пациенты, у которых ранее появилась идиосинкразия на какой-либо лекарственный препарат) могут появиться психические нарушения (неестественное повышение настроения, возбуждение, повышенная раздражительность), рвота или тошнота. В этих случаях необходимо прекратить лечение.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Антихолинергические препараты, в том числе тригексифенидил, не должны резко отменяться у пациентов на длительной терапии.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Следует иметь в виду, что возможно злоупотребление препаратом в связи с его эйфорическими или галлюциногенными свойствами.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Если при приеме препарата возникает сухость во рту, его желательно принимать до еды, так как в противном случае может появиться тошнота.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В ходе длительного лечения выраженность нежелательных реакций, обусловленных антихолинергическим действием, снижается.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 w:right="220"/>
        <w:rPr>
          <w:sz w:val="24"/>
          <w:szCs w:val="24"/>
        </w:rPr>
      </w:pPr>
      <w:bookmarkStart w:id="9" w:name="bookmark9"/>
      <w:r w:rsidRPr="00323698">
        <w:rPr>
          <w:sz w:val="24"/>
          <w:szCs w:val="24"/>
        </w:rPr>
        <w:lastRenderedPageBreak/>
        <w:t>Влияние лекарственного препарата на способность управлять автотранспортом или обслуживать потенциально опасные механизмы:</w:t>
      </w:r>
      <w:bookmarkEnd w:id="9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В период лечения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10" w:name="bookmark10"/>
      <w:r w:rsidRPr="00323698">
        <w:rPr>
          <w:sz w:val="24"/>
          <w:szCs w:val="24"/>
        </w:rPr>
        <w:t>Форма выпуска:</w:t>
      </w:r>
      <w:bookmarkEnd w:id="10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323698">
        <w:rPr>
          <w:sz w:val="24"/>
          <w:szCs w:val="24"/>
        </w:rPr>
        <w:t>Таблетки 2 мг.</w:t>
      </w:r>
    </w:p>
    <w:p w:rsidR="00CE7085" w:rsidRPr="00323698" w:rsidRDefault="00CE7085" w:rsidP="00CE7085">
      <w:pPr>
        <w:pStyle w:val="1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CE7085" w:rsidRPr="00323698" w:rsidRDefault="00CE7085" w:rsidP="00CE7085">
      <w:pPr>
        <w:pStyle w:val="1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По 1, 2, 3, 4, 5 контурных ячейковых упаковок вместе с инструкцией по применению помещают в пачку из картона.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23698">
        <w:rPr>
          <w:sz w:val="24"/>
          <w:szCs w:val="24"/>
        </w:rPr>
        <w:t>100, 200, 300, 400, 600 контурных ячейковых упаковок с равным количеством инструкций  по медицинскому применению помещают в коробку картонную (для стационаров).</w:t>
      </w:r>
      <w:bookmarkStart w:id="11" w:name="bookmark11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left="20" w:right="220"/>
        <w:rPr>
          <w:b/>
          <w:sz w:val="24"/>
          <w:szCs w:val="24"/>
        </w:rPr>
      </w:pPr>
      <w:r w:rsidRPr="00323698">
        <w:rPr>
          <w:b/>
          <w:sz w:val="24"/>
          <w:szCs w:val="24"/>
        </w:rPr>
        <w:t>Условия хранения:</w:t>
      </w:r>
      <w:bookmarkEnd w:id="11"/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right="2220"/>
        <w:rPr>
          <w:color w:val="auto"/>
          <w:sz w:val="24"/>
          <w:szCs w:val="24"/>
        </w:rPr>
      </w:pPr>
      <w:r w:rsidRPr="00323698">
        <w:rPr>
          <w:color w:val="auto"/>
          <w:sz w:val="24"/>
          <w:szCs w:val="24"/>
        </w:rPr>
        <w:t xml:space="preserve">При температуре не выше 25 </w:t>
      </w:r>
      <w:r w:rsidRPr="00323698">
        <w:rPr>
          <w:color w:val="auto"/>
          <w:sz w:val="24"/>
          <w:szCs w:val="24"/>
          <w:vertAlign w:val="superscript"/>
        </w:rPr>
        <w:t>0</w:t>
      </w:r>
      <w:r w:rsidRPr="00323698">
        <w:rPr>
          <w:color w:val="auto"/>
          <w:sz w:val="24"/>
          <w:szCs w:val="24"/>
        </w:rPr>
        <w:t>С.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right="2220"/>
        <w:rPr>
          <w:sz w:val="24"/>
          <w:szCs w:val="24"/>
          <w:lang w:val="ru-RU"/>
        </w:rPr>
      </w:pPr>
      <w:r w:rsidRPr="00323698">
        <w:rPr>
          <w:rStyle w:val="aa"/>
          <w:sz w:val="24"/>
          <w:szCs w:val="24"/>
        </w:rPr>
        <w:t xml:space="preserve">Срок годности: </w:t>
      </w:r>
      <w:r w:rsidRPr="00323698">
        <w:rPr>
          <w:sz w:val="24"/>
          <w:szCs w:val="24"/>
        </w:rPr>
        <w:t>5 лет.</w:t>
      </w:r>
      <w:r w:rsidRPr="00323698">
        <w:rPr>
          <w:sz w:val="24"/>
          <w:szCs w:val="24"/>
          <w:lang w:val="ru-RU"/>
        </w:rPr>
        <w:t xml:space="preserve"> </w:t>
      </w:r>
      <w:r w:rsidRPr="00323698">
        <w:rPr>
          <w:rFonts w:eastAsia="Calibri"/>
          <w:sz w:val="24"/>
          <w:szCs w:val="24"/>
        </w:rPr>
        <w:t>Не применять по истечении срока годности.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bookmarkStart w:id="12" w:name="bookmark12"/>
      <w:r w:rsidRPr="00323698">
        <w:rPr>
          <w:sz w:val="24"/>
          <w:szCs w:val="24"/>
        </w:rPr>
        <w:t>Условия отпуска:</w:t>
      </w:r>
      <w:bookmarkEnd w:id="12"/>
    </w:p>
    <w:p w:rsidR="00CE7085" w:rsidRPr="00323698" w:rsidRDefault="00CE7085" w:rsidP="00CE7085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323698">
        <w:rPr>
          <w:sz w:val="24"/>
          <w:szCs w:val="24"/>
        </w:rPr>
        <w:t>Отпускают по рецепту.</w:t>
      </w:r>
    </w:p>
    <w:p w:rsidR="00CE7085" w:rsidRPr="00323698" w:rsidRDefault="00CE7085" w:rsidP="00CE7085">
      <w:pPr>
        <w:pStyle w:val="11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bookmarkStart w:id="13" w:name="bookmark13"/>
      <w:r w:rsidRPr="00323698">
        <w:rPr>
          <w:sz w:val="24"/>
          <w:szCs w:val="24"/>
        </w:rPr>
        <w:t>Производитель/организация, принимающая претензии</w:t>
      </w:r>
      <w:bookmarkEnd w:id="13"/>
    </w:p>
    <w:p w:rsidR="00CE7085" w:rsidRPr="00323698" w:rsidRDefault="00CE7085" w:rsidP="00CE7085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323698">
        <w:rPr>
          <w:sz w:val="24"/>
          <w:szCs w:val="24"/>
        </w:rPr>
        <w:t>АО «Усолье-Сибирский химфармзавод»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ind w:right="220"/>
        <w:jc w:val="both"/>
        <w:rPr>
          <w:sz w:val="24"/>
          <w:szCs w:val="24"/>
        </w:rPr>
      </w:pPr>
      <w:r w:rsidRPr="00323698">
        <w:rPr>
          <w:sz w:val="24"/>
          <w:szCs w:val="24"/>
        </w:rPr>
        <w:t>Россия, 665462, Иркутская область, г. Усолье-Сибирское, северо-западная часть города, с северо-восточной стороны, в 115 м от Прибайкальской автодороги.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323698">
        <w:rPr>
          <w:sz w:val="24"/>
          <w:szCs w:val="24"/>
        </w:rPr>
        <w:t xml:space="preserve">тел./факс: </w:t>
      </w:r>
      <w:r>
        <w:rPr>
          <w:sz w:val="24"/>
          <w:szCs w:val="24"/>
          <w:lang w:val="ru-RU"/>
        </w:rPr>
        <w:t xml:space="preserve">+7 </w:t>
      </w:r>
      <w:r>
        <w:rPr>
          <w:sz w:val="24"/>
          <w:szCs w:val="24"/>
        </w:rPr>
        <w:t>(39543) 589</w:t>
      </w:r>
      <w:r w:rsidRPr="00323698">
        <w:rPr>
          <w:sz w:val="24"/>
          <w:szCs w:val="24"/>
        </w:rPr>
        <w:t>10 ,</w:t>
      </w:r>
      <w:r>
        <w:rPr>
          <w:sz w:val="24"/>
          <w:szCs w:val="24"/>
          <w:lang w:val="ru-RU"/>
        </w:rPr>
        <w:t xml:space="preserve"> +7 (39543) </w:t>
      </w:r>
      <w:r>
        <w:rPr>
          <w:sz w:val="24"/>
          <w:szCs w:val="24"/>
        </w:rPr>
        <w:t>5</w:t>
      </w:r>
      <w:r w:rsidRPr="00323698">
        <w:rPr>
          <w:sz w:val="24"/>
          <w:szCs w:val="24"/>
        </w:rPr>
        <w:t>8908</w:t>
      </w:r>
    </w:p>
    <w:p w:rsidR="00CE7085" w:rsidRPr="00323698" w:rsidRDefault="00CE7085" w:rsidP="00CE7085">
      <w:pPr>
        <w:pStyle w:val="1"/>
        <w:spacing w:line="360" w:lineRule="auto"/>
        <w:rPr>
          <w:sz w:val="24"/>
          <w:szCs w:val="24"/>
        </w:rPr>
      </w:pPr>
    </w:p>
    <w:p w:rsidR="00CE7085" w:rsidRPr="00323698" w:rsidRDefault="00CE7085" w:rsidP="00CE7085">
      <w:pPr>
        <w:pStyle w:val="1"/>
        <w:spacing w:line="360" w:lineRule="auto"/>
        <w:rPr>
          <w:sz w:val="24"/>
          <w:szCs w:val="24"/>
        </w:rPr>
      </w:pPr>
    </w:p>
    <w:p w:rsidR="00CE7085" w:rsidRPr="00323698" w:rsidRDefault="00CE7085" w:rsidP="00CE7085">
      <w:pPr>
        <w:pStyle w:val="1"/>
        <w:spacing w:line="360" w:lineRule="auto"/>
        <w:rPr>
          <w:sz w:val="24"/>
          <w:szCs w:val="24"/>
        </w:rPr>
      </w:pPr>
      <w:r w:rsidRPr="00323698">
        <w:rPr>
          <w:sz w:val="24"/>
          <w:szCs w:val="24"/>
        </w:rPr>
        <w:t>Генеральный директор</w:t>
      </w:r>
    </w:p>
    <w:p w:rsidR="00CE7085" w:rsidRPr="00323698" w:rsidRDefault="00CE7085" w:rsidP="00CE7085">
      <w:pPr>
        <w:pStyle w:val="1"/>
        <w:spacing w:line="360" w:lineRule="auto"/>
        <w:rPr>
          <w:sz w:val="24"/>
          <w:szCs w:val="24"/>
        </w:rPr>
      </w:pPr>
      <w:r w:rsidRPr="00323698">
        <w:rPr>
          <w:sz w:val="24"/>
          <w:szCs w:val="24"/>
        </w:rPr>
        <w:t>АО «Усолье-Сибирский химфармзавод</w:t>
      </w:r>
      <w:r>
        <w:rPr>
          <w:sz w:val="24"/>
          <w:szCs w:val="24"/>
          <w:lang w:val="ru-RU"/>
        </w:rPr>
        <w:t>»</w:t>
      </w:r>
      <w:r w:rsidRPr="00323698">
        <w:rPr>
          <w:sz w:val="24"/>
          <w:szCs w:val="24"/>
        </w:rPr>
        <w:t xml:space="preserve">                             </w:t>
      </w:r>
      <w:r w:rsidRPr="00323698">
        <w:rPr>
          <w:sz w:val="24"/>
          <w:szCs w:val="24"/>
          <w:lang w:val="ru-RU"/>
        </w:rPr>
        <w:t xml:space="preserve">                             </w:t>
      </w:r>
      <w:r w:rsidRPr="00323698">
        <w:rPr>
          <w:sz w:val="24"/>
          <w:szCs w:val="24"/>
        </w:rPr>
        <w:t xml:space="preserve">          С.В. Тюстин</w:t>
      </w:r>
    </w:p>
    <w:p w:rsidR="00CE7085" w:rsidRPr="00323698" w:rsidRDefault="00CE7085" w:rsidP="00CE7085">
      <w:pPr>
        <w:pStyle w:val="1"/>
        <w:shd w:val="clear" w:color="auto" w:fill="auto"/>
        <w:spacing w:line="360" w:lineRule="auto"/>
        <w:rPr>
          <w:sz w:val="24"/>
          <w:szCs w:val="24"/>
        </w:rPr>
      </w:pPr>
    </w:p>
    <w:p w:rsidR="00B97D58" w:rsidRPr="00CE7085" w:rsidRDefault="00B97D58" w:rsidP="00CE7085">
      <w:bookmarkStart w:id="14" w:name="_GoBack"/>
      <w:bookmarkEnd w:id="14"/>
    </w:p>
    <w:sectPr w:rsidR="00B97D58" w:rsidRPr="00CE7085">
      <w:type w:val="continuous"/>
      <w:pgSz w:w="11905" w:h="16837"/>
      <w:pgMar w:top="1053" w:right="672" w:bottom="1311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BC" w:rsidRDefault="003F49BC">
      <w:r>
        <w:separator/>
      </w:r>
    </w:p>
  </w:endnote>
  <w:endnote w:type="continuationSeparator" w:id="0">
    <w:p w:rsidR="003F49BC" w:rsidRDefault="003F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BC" w:rsidRDefault="003F49BC"/>
  </w:footnote>
  <w:footnote w:type="continuationSeparator" w:id="0">
    <w:p w:rsidR="003F49BC" w:rsidRDefault="003F49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C"/>
    <w:rsid w:val="00323698"/>
    <w:rsid w:val="003F49BC"/>
    <w:rsid w:val="00660CC0"/>
    <w:rsid w:val="00B97D58"/>
    <w:rsid w:val="00BC5B88"/>
    <w:rsid w:val="00CE7085"/>
    <w:rsid w:val="00E2355C"/>
    <w:rsid w:val="00E875BA"/>
    <w:rsid w:val="00E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157E-B0BB-4669-BAD7-CB81973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456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B97D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7D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2019-10-31T11:54:00Z</cp:lastPrinted>
  <dcterms:created xsi:type="dcterms:W3CDTF">2018-08-06T09:05:00Z</dcterms:created>
  <dcterms:modified xsi:type="dcterms:W3CDTF">2019-10-31T11:54:00Z</dcterms:modified>
</cp:coreProperties>
</file>